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eastAsiaTheme="minorEastAsia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实训场景5：</w:t>
      </w:r>
      <w:bookmarkStart w:id="0" w:name="_GoBack"/>
      <w:r>
        <w:rPr>
          <w:rFonts w:hint="eastAsia"/>
          <w:b/>
          <w:bCs/>
          <w:szCs w:val="21"/>
          <w:lang w:val="en-US" w:eastAsia="zh-CN"/>
        </w:rPr>
        <w:t>承运日期表及其编制</w:t>
      </w:r>
    </w:p>
    <w:bookmarkEnd w:id="0"/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承运日期表具体规定了车站受理承运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或某方向上零担货物的日期。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某到达站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</w:pPr>
      <w:r>
        <w:rPr>
          <w:rFonts w:hint="eastAsia"/>
          <w:szCs w:val="21"/>
        </w:rPr>
        <w:t>承运日期表具体规定了车站受理承运</w:t>
      </w:r>
      <w:r>
        <w:rPr>
          <w:rFonts w:hint="eastAsia"/>
          <w:szCs w:val="21"/>
          <w:lang w:val="en-US" w:eastAsia="zh-CN"/>
        </w:rPr>
        <w:t>某到达站</w:t>
      </w:r>
      <w:r>
        <w:rPr>
          <w:rFonts w:hint="eastAsia"/>
          <w:szCs w:val="21"/>
        </w:rPr>
        <w:t>或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零担货物的日期。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某方向上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具体编制承运日期表时，必须掌握</w:t>
      </w:r>
      <w:r>
        <w:rPr>
          <w:rFonts w:hint="eastAsia"/>
          <w:szCs w:val="21"/>
        </w:rPr>
        <w:t>零担货物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这方面的货流资料，可根据历年实际完成的统计资料，结合货源调查后加以分析。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发送量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</w:rPr>
      </w:pPr>
      <w:r>
        <w:rPr>
          <w:rFonts w:hint="eastAsia"/>
          <w:szCs w:val="21"/>
        </w:rPr>
        <w:t>零担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主要掌握轻重货物的比例，以便采用相应的厢式车型或确定使用的成组工具，并计算平均净载重量。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货物构成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</w:rPr>
      </w:pPr>
      <w:r>
        <w:rPr>
          <w:rFonts w:hint="eastAsia"/>
          <w:szCs w:val="21"/>
        </w:rPr>
        <w:t>零担</w:t>
      </w:r>
      <w:r>
        <w:rPr>
          <w:rFonts w:hint="eastAsia"/>
          <w:szCs w:val="21"/>
          <w:lang w:val="en-US" w:eastAsia="zh-CN"/>
        </w:rPr>
        <w:t>货物构成</w:t>
      </w:r>
      <w:r>
        <w:rPr>
          <w:rFonts w:hint="eastAsia"/>
          <w:szCs w:val="21"/>
        </w:rPr>
        <w:t>主要掌握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，以便采用相应的厢式车型或确定使用的成组工具，并计算平均净载重量。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轻重货物的比例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</w:rPr>
      </w:pPr>
      <w:r>
        <w:rPr>
          <w:rFonts w:hint="eastAsia"/>
          <w:szCs w:val="21"/>
        </w:rPr>
        <w:t>零担</w:t>
      </w:r>
      <w:r>
        <w:rPr>
          <w:rFonts w:hint="eastAsia"/>
          <w:szCs w:val="21"/>
          <w:lang w:val="en-US" w:eastAsia="zh-CN"/>
        </w:rPr>
        <w:t>货物构成</w:t>
      </w:r>
      <w:r>
        <w:rPr>
          <w:rFonts w:hint="eastAsia"/>
          <w:szCs w:val="21"/>
        </w:rPr>
        <w:t>主要掌握轻重货物的比例，以便采用相应的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或确定使用的成组工具，并计算平均净载重量。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厢式车型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</w:rPr>
      </w:pPr>
      <w:r>
        <w:rPr>
          <w:rFonts w:hint="eastAsia"/>
          <w:szCs w:val="21"/>
        </w:rPr>
        <w:t>零担</w:t>
      </w:r>
      <w:r>
        <w:rPr>
          <w:rFonts w:hint="eastAsia"/>
          <w:szCs w:val="21"/>
          <w:lang w:val="en-US" w:eastAsia="zh-CN"/>
        </w:rPr>
        <w:t>货物构成</w:t>
      </w:r>
      <w:r>
        <w:rPr>
          <w:rFonts w:hint="eastAsia"/>
          <w:szCs w:val="21"/>
        </w:rPr>
        <w:t>主要掌握轻重货物的比例，以便采用相应的厢式车型或确定使用的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，并计算平均净载重量。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成组工具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</w:rPr>
      </w:pPr>
      <w:r>
        <w:rPr>
          <w:rFonts w:hint="eastAsia"/>
          <w:szCs w:val="21"/>
        </w:rPr>
        <w:t>零担</w:t>
      </w:r>
      <w:r>
        <w:rPr>
          <w:rFonts w:hint="eastAsia"/>
          <w:szCs w:val="21"/>
          <w:lang w:val="en-US" w:eastAsia="zh-CN"/>
        </w:rPr>
        <w:t>货物构成</w:t>
      </w:r>
      <w:r>
        <w:rPr>
          <w:rFonts w:hint="eastAsia"/>
          <w:szCs w:val="21"/>
        </w:rPr>
        <w:t>主要掌握轻重货物的比例，以便采用相应的厢式车型或确定使用的成组工具，并计算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平均净载重量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_______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这对发送量大、仓库容量小的货运站十分重要。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车站发送仓库的容积、货位数目以及管理方法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车站发送仓库的容积、货位数目以及管理方法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这对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、仓库容量小的货运站十分重要。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发送量大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车站发送仓库的容积、货位数目以及管理方法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这对发送量大、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的货运站十分重要。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仓库容量小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是确定车辆运行周期和零担车班期的量要依托，它与车辆配备数量以及最大承运间隔日期的确定也有很大关系。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车辆运行技术参数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车辆运行技术参数是确定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和零担车班期的量要依托，它与车辆配备数量以及最大承运间隔日期的确定也有很大关系。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车辆运行周期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车辆运行技术参数是确定车辆运行周期和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的量要依托，它与车辆配备数量以及最大承运间隔日期的确定也有很大关系。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零担车班期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车辆运行技术参数是确定车辆运行周期和零担车班期的量要依托，它与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以及最大承运间隔日期的确定也有很大关系。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车辆配备数量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</w:rPr>
      </w:pPr>
      <w:r>
        <w:rPr>
          <w:rFonts w:hint="eastAsia"/>
          <w:szCs w:val="21"/>
        </w:rPr>
        <w:t>车辆运行技术参数是确定车辆运行周期和零担车班期的量要依托，它与车辆配备数量以及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的确定也有很大关系。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最大承运间隔日期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</w:rPr>
      </w:pPr>
      <w:r>
        <w:rPr>
          <w:rFonts w:hint="eastAsia"/>
          <w:szCs w:val="21"/>
        </w:rPr>
        <w:t>主要发货单位</w:t>
      </w:r>
      <w:r>
        <w:rPr>
          <w:rFonts w:hint="eastAsia"/>
          <w:szCs w:val="21"/>
          <w:lang w:val="en-US" w:eastAsia="zh-CN"/>
        </w:rPr>
        <w:t>__________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（货主）以及对方对本零担货运站的要求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</w:rPr>
      </w:pPr>
      <w:r>
        <w:rPr>
          <w:rFonts w:hint="eastAsia"/>
          <w:szCs w:val="21"/>
        </w:rPr>
        <w:t>根据有关规定和要求、零担货物的变化规律、车站作业能力以及车辆运行周期等资料，合理确定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最大承运间隔期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零担货物集结时间如小于或等于最大承运间隔期，则可按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作为组织直达零担班车的承运间隔期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集结时间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承运日期表原则上应保持</w:t>
      </w:r>
      <w:r>
        <w:rPr>
          <w:rFonts w:hint="eastAsia"/>
          <w:szCs w:val="21"/>
          <w:lang w:val="en-US" w:eastAsia="zh-CN"/>
        </w:rPr>
        <w:t>____，</w:t>
      </w:r>
      <w:r>
        <w:rPr>
          <w:rFonts w:hint="eastAsia"/>
          <w:szCs w:val="21"/>
        </w:rPr>
        <w:t>当货源货流发生变化或其他原因需要调整时，应提前编制并及时公布新的承运日期表。</w:t>
      </w:r>
      <w:r>
        <w:rPr>
          <w:rFonts w:hint="eastAsia"/>
          <w:szCs w:val="21"/>
          <w:lang w:val="en-US" w:eastAsia="zh-CN"/>
        </w:rPr>
        <w:t>（相对的稳定性）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B5B8B1"/>
    <w:multiLevelType w:val="singleLevel"/>
    <w:tmpl w:val="2AB5B8B1"/>
    <w:lvl w:ilvl="0" w:tentative="0">
      <w:start w:val="1"/>
      <w:numFmt w:val="decimal"/>
      <w:suff w:val="nothing"/>
      <w:lvlText w:val="%1、"/>
      <w:lvlJc w:val="left"/>
      <w:pPr>
        <w:ind w:left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01950580"/>
    <w:rsid w:val="0195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2024-03-10T16:01:00Z</dcterms:created>
  <dc:creator>木兮</dc:creator>
  <cp:lastModifiedBy>木兮</cp:lastModifiedBy>
  <dcterms:modified xsi:type="dcterms:W3CDTF">2024-03-10T16:01:58Z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294D34C425194CD08953986B6CF35256_11</vt:lpwstr>
  </property>
</Properties>
</file>